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82B3" w14:textId="68A2B04A" w:rsidR="001B2225" w:rsidRPr="0049522E" w:rsidRDefault="007C6F37" w:rsidP="001B2225">
      <w:pPr>
        <w:spacing w:line="271" w:lineRule="auto"/>
        <w:rPr>
          <w:rFonts w:asciiTheme="minorHAnsi" w:hAnsiTheme="minorHAnsi" w:cstheme="minorHAnsi"/>
          <w:b/>
          <w:bCs/>
          <w:sz w:val="20"/>
          <w:szCs w:val="20"/>
          <w:lang w:val="fr-FR"/>
        </w:rPr>
      </w:pPr>
      <w:r w:rsidRPr="007C6F37">
        <w:rPr>
          <w:rFonts w:asciiTheme="minorHAnsi" w:eastAsiaTheme="minorEastAsia" w:hAnsiTheme="minorHAnsi" w:cstheme="minorHAnsi"/>
          <w:b/>
          <w:bCs/>
          <w:color w:val="C3001E"/>
          <w:sz w:val="32"/>
          <w:szCs w:val="32"/>
          <w:lang w:val="fr-FR" w:eastAsia="zh-CN"/>
        </w:rPr>
        <w:t>ÉTUDE DE CAS CLIENT</w:t>
      </w: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078C12A3" w:rsidR="001B2225" w:rsidRDefault="005C22F0" w:rsidP="001B2225">
      <w:pPr>
        <w:spacing w:line="271" w:lineRule="auto"/>
        <w:rPr>
          <w:rFonts w:asciiTheme="minorHAnsi" w:hAnsiTheme="minorHAnsi" w:cstheme="minorHAnsi"/>
          <w:b/>
          <w:bCs/>
          <w:szCs w:val="19"/>
          <w:lang w:val="fr-FR"/>
        </w:rPr>
      </w:pPr>
      <w:r>
        <w:rPr>
          <w:rFonts w:asciiTheme="minorHAnsi" w:hAnsiTheme="minorHAnsi" w:cstheme="minorHAnsi"/>
          <w:b/>
          <w:bCs/>
          <w:szCs w:val="19"/>
          <w:lang w:val="fr-FR"/>
        </w:rPr>
        <w:br/>
      </w:r>
      <w:r w:rsidR="001B2225" w:rsidRPr="006E0625">
        <w:rPr>
          <w:rFonts w:asciiTheme="minorHAnsi" w:hAnsiTheme="minorHAnsi" w:cstheme="minorHAnsi"/>
          <w:b/>
          <w:bCs/>
          <w:szCs w:val="19"/>
          <w:lang w:val="fr-FR"/>
        </w:rPr>
        <w:t xml:space="preserve">Mex, Suisse, </w:t>
      </w:r>
      <w:r w:rsidR="007C6F37" w:rsidRPr="007C6F37">
        <w:rPr>
          <w:rFonts w:asciiTheme="minorHAnsi" w:hAnsiTheme="minorHAnsi" w:cstheme="minorHAnsi"/>
          <w:b/>
          <w:bCs/>
          <w:szCs w:val="19"/>
          <w:lang w:val="fr-FR"/>
        </w:rPr>
        <w:t xml:space="preserve">le </w:t>
      </w:r>
      <w:r w:rsidR="007C6F37">
        <w:rPr>
          <w:rFonts w:asciiTheme="minorHAnsi" w:hAnsiTheme="minorHAnsi" w:cstheme="minorHAnsi"/>
          <w:b/>
          <w:bCs/>
          <w:szCs w:val="19"/>
          <w:lang w:val="fr-FR"/>
        </w:rPr>
        <w:t>22</w:t>
      </w:r>
      <w:r w:rsidR="007C6F37" w:rsidRPr="007C6F37">
        <w:rPr>
          <w:rFonts w:asciiTheme="minorHAnsi" w:hAnsiTheme="minorHAnsi" w:cstheme="minorHAnsi"/>
          <w:b/>
          <w:bCs/>
          <w:szCs w:val="19"/>
          <w:lang w:val="fr-FR"/>
        </w:rPr>
        <w:t xml:space="preserve"> août 2024</w:t>
      </w:r>
    </w:p>
    <w:p w14:paraId="4B47474F" w14:textId="77777777" w:rsidR="00E11997" w:rsidRPr="006E0625" w:rsidRDefault="00E11997" w:rsidP="001B2225">
      <w:pPr>
        <w:spacing w:line="271" w:lineRule="auto"/>
        <w:rPr>
          <w:rFonts w:asciiTheme="minorHAnsi" w:hAnsiTheme="minorHAnsi" w:cstheme="minorHAnsi"/>
          <w:b/>
          <w:bCs/>
          <w:szCs w:val="19"/>
          <w:lang w:val="fr-FR"/>
        </w:rPr>
      </w:pPr>
    </w:p>
    <w:p w14:paraId="3E2E9CAE" w14:textId="77777777" w:rsidR="00606729" w:rsidRPr="00950C0A" w:rsidRDefault="00606729" w:rsidP="00950C0A">
      <w:pPr>
        <w:spacing w:line="276" w:lineRule="auto"/>
        <w:rPr>
          <w:rFonts w:asciiTheme="minorHAnsi" w:hAnsiTheme="minorHAnsi" w:cstheme="minorHAnsi"/>
          <w:b/>
          <w:bCs/>
          <w:sz w:val="20"/>
          <w:szCs w:val="20"/>
          <w:lang w:val="fr-FR"/>
        </w:rPr>
      </w:pPr>
    </w:p>
    <w:p w14:paraId="5A4E34BA" w14:textId="77777777" w:rsidR="00950C0A" w:rsidRPr="00950C0A" w:rsidRDefault="00950C0A" w:rsidP="00950C0A">
      <w:pPr>
        <w:spacing w:after="160" w:line="276" w:lineRule="auto"/>
        <w:rPr>
          <w:rFonts w:asciiTheme="minorHAnsi" w:eastAsia="Calibri" w:hAnsiTheme="minorHAnsi" w:cstheme="minorHAnsi"/>
          <w:b/>
          <w:bCs/>
          <w:sz w:val="20"/>
          <w:szCs w:val="20"/>
          <w:lang w:val="fr-FR"/>
        </w:rPr>
      </w:pPr>
      <w:r w:rsidRPr="00950C0A">
        <w:rPr>
          <w:rFonts w:asciiTheme="minorHAnsi" w:eastAsia="Arial" w:hAnsiTheme="minorHAnsi" w:cstheme="minorHAnsi"/>
          <w:b/>
          <w:sz w:val="20"/>
          <w:szCs w:val="20"/>
          <w:lang w:val="fr-FR" w:bidi="fr-FR"/>
        </w:rPr>
        <w:t>Unit NV parvient à atteindre une production plus efficace et de haute qualité constante grâce aux solutions BOBST EXPERTFOLD, ACCUBRAILLE et HANDYPACK GT</w:t>
      </w:r>
    </w:p>
    <w:p w14:paraId="0549BAB6" w14:textId="77777777" w:rsidR="00950C0A"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Arial" w:hAnsiTheme="minorHAnsi" w:cstheme="minorHAnsi"/>
          <w:sz w:val="20"/>
          <w:szCs w:val="20"/>
          <w:lang w:val="fr-FR" w:bidi="fr-FR"/>
        </w:rPr>
        <w:t xml:space="preserve">Entreprise familiale au service du marché européen depuis 25 ans, Unit NV a connu une croissance extraordinaire au cours des six dernières années et s’est forgé une réputation enviable dans les secteurs de l’emballage pharmaceutique et phytopharmaceutique. </w:t>
      </w:r>
    </w:p>
    <w:p w14:paraId="788C843F" w14:textId="77777777" w:rsidR="00950C0A"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Arial" w:hAnsiTheme="minorHAnsi" w:cstheme="minorHAnsi"/>
          <w:sz w:val="20"/>
          <w:szCs w:val="20"/>
          <w:lang w:val="fr-FR" w:bidi="fr-FR"/>
        </w:rPr>
        <w:t>Avec un siège social établi à Kontich, en Belgique, elle vise à améliorer sa capacité de production et son agilité face aux commandes entrantes en investissant dans une plieuse-colleuse BOBST EXPERTFOLD 50 dotée de deux modules en ligne remarquables, ACCUBRAILLE et HANDYPACK GT, une table de collecte semi-automatique.</w:t>
      </w:r>
    </w:p>
    <w:p w14:paraId="41BA6491" w14:textId="77777777" w:rsidR="00950C0A" w:rsidRPr="00950C0A" w:rsidRDefault="00950C0A" w:rsidP="00950C0A">
      <w:pPr>
        <w:spacing w:after="160" w:line="276" w:lineRule="auto"/>
        <w:rPr>
          <w:rFonts w:asciiTheme="minorHAnsi" w:eastAsia="Calibri" w:hAnsiTheme="minorHAnsi" w:cstheme="minorHAnsi"/>
          <w:sz w:val="20"/>
          <w:szCs w:val="20"/>
          <w:lang w:val="fr-FR"/>
        </w:rPr>
      </w:pPr>
      <w:bookmarkStart w:id="0" w:name="_Hlk163489869"/>
      <w:r w:rsidRPr="00950C0A">
        <w:rPr>
          <w:rFonts w:asciiTheme="minorHAnsi" w:eastAsia="Arial" w:hAnsiTheme="minorHAnsi" w:cstheme="minorHAnsi"/>
          <w:sz w:val="20"/>
          <w:szCs w:val="20"/>
          <w:lang w:val="fr-FR" w:bidi="fr-FR"/>
        </w:rPr>
        <w:t>Lissa </w:t>
      </w:r>
      <w:proofErr w:type="spellStart"/>
      <w:r w:rsidRPr="00950C0A">
        <w:rPr>
          <w:rFonts w:asciiTheme="minorHAnsi" w:eastAsia="Arial" w:hAnsiTheme="minorHAnsi" w:cstheme="minorHAnsi"/>
          <w:sz w:val="20"/>
          <w:szCs w:val="20"/>
          <w:lang w:val="fr-FR" w:bidi="fr-FR"/>
        </w:rPr>
        <w:t>Vanmechelen</w:t>
      </w:r>
      <w:proofErr w:type="spellEnd"/>
      <w:r w:rsidRPr="00950C0A">
        <w:rPr>
          <w:rFonts w:asciiTheme="minorHAnsi" w:eastAsia="Arial" w:hAnsiTheme="minorHAnsi" w:cstheme="minorHAnsi"/>
          <w:sz w:val="20"/>
          <w:szCs w:val="20"/>
          <w:lang w:val="fr-FR" w:bidi="fr-FR"/>
        </w:rPr>
        <w:t>, Directrice générale d'Unit NV : « Le secteur pharmaceutique mise sur une combinaison de rapidité et de qualité. Nos clients exigent des délais de livraison courts et chacun des articles que nous produisons doit être parfait. Nous avons choisi la plieuse-colleuse EXPERTFOLD 50, car elle nous offre les performances souhaitées, avec la polyvalence nécessaire pour étendre nos capacités dans l'industrie pharmaceutique.</w:t>
      </w:r>
    </w:p>
    <w:p w14:paraId="26B0D5EF" w14:textId="77777777" w:rsidR="00950C0A"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Arial" w:hAnsiTheme="minorHAnsi" w:cstheme="minorHAnsi"/>
          <w:sz w:val="20"/>
          <w:szCs w:val="20"/>
          <w:lang w:val="fr-FR" w:bidi="fr-FR"/>
        </w:rPr>
        <w:t>« Avant tout, cet investissement visait également à rationaliser nos processus et à réduire la pression exercée sur notre équipe. Auparavant, nous produisions le gaufrage braille séparément sur nos machines de découpe ou sous-traitions cette tâche en cas de besoin. Au lieu de cela, nous voulions le produire en ligne dans le cadre de notre processus de pliage. »</w:t>
      </w:r>
    </w:p>
    <w:p w14:paraId="690C01B2" w14:textId="77777777" w:rsidR="00950C0A"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Arial" w:hAnsiTheme="minorHAnsi" w:cstheme="minorHAnsi"/>
          <w:sz w:val="20"/>
          <w:szCs w:val="20"/>
          <w:lang w:val="fr-FR" w:bidi="fr-FR"/>
        </w:rPr>
        <w:t xml:space="preserve">La gamme de plieuses-colleuses EXPERTFOLD est en mesure de produire un nombre impressionnant de styles de boîtes à des vitesses allant jusqu'à 450 m/minute. Idéale pour les transformateurs de gros volumes, elle génère d’excellents niveaux de productivité, ainsi qu’une qualité élevée et constante. Dotée de l'interface intuitive du système de contrôle IHM SPHERE, EXPERTFOLD est totalement compatible avec BOBST </w:t>
      </w:r>
      <w:proofErr w:type="spellStart"/>
      <w:r w:rsidRPr="00950C0A">
        <w:rPr>
          <w:rFonts w:asciiTheme="minorHAnsi" w:eastAsia="Arial" w:hAnsiTheme="minorHAnsi" w:cstheme="minorHAnsi"/>
          <w:sz w:val="20"/>
          <w:szCs w:val="20"/>
          <w:lang w:val="fr-FR" w:bidi="fr-FR"/>
        </w:rPr>
        <w:t>Connect</w:t>
      </w:r>
      <w:proofErr w:type="spellEnd"/>
      <w:r w:rsidRPr="00950C0A">
        <w:rPr>
          <w:rFonts w:asciiTheme="minorHAnsi" w:eastAsia="Arial" w:hAnsiTheme="minorHAnsi" w:cstheme="minorHAnsi"/>
          <w:sz w:val="20"/>
          <w:szCs w:val="20"/>
          <w:lang w:val="fr-FR" w:bidi="fr-FR"/>
        </w:rPr>
        <w:t>. Cette plate-forme basée sur le cloud joue un rôle essentiel dans l'optimisation des processus, permettant un échange de données transparent entre les machines et reliant l'ensemble du processus, du PDF client au produit fini.</w:t>
      </w:r>
    </w:p>
    <w:p w14:paraId="0CA9FBA2" w14:textId="77777777" w:rsidR="00950C0A"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Arial" w:hAnsiTheme="minorHAnsi" w:cstheme="minorHAnsi"/>
          <w:sz w:val="20"/>
          <w:szCs w:val="20"/>
          <w:lang w:val="fr-FR" w:bidi="fr-FR"/>
        </w:rPr>
        <w:t>En tant que technologie BOBST polyvalente, la gamme EXPERTFOLD permet aux transformateurs d'emballages d'aligner d'autres processus avec des modules supplémentaires. L'un de ces procédés, le gaufrage des points de braille, constituait un domaine d'intérêt important pour Unit NV dans le secteur pharmaceutique.</w:t>
      </w:r>
    </w:p>
    <w:p w14:paraId="702733E4" w14:textId="77777777" w:rsidR="00950C0A"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Arial" w:hAnsiTheme="minorHAnsi" w:cstheme="minorHAnsi"/>
          <w:sz w:val="20"/>
          <w:szCs w:val="20"/>
          <w:lang w:val="fr-FR" w:bidi="fr-FR"/>
        </w:rPr>
        <w:t>« Afin d’accroître l'efficacité, nous souhaitions aligner la production braille », a poursuivi Lissa. « Auparavant, nous devions le faire sur nos presses à découper, où nous externalisions certains travaux. Le module BOBST ACCUBRAILLE, que nous avons à la fois gauche et à droite, résout ce problème en mettant le processus entièrement en ligne. Nous pouvons gaufrer le braille sur les quatre faces d’une boîte, même dans le sens de défilement, et la qualité est fantastique. »</w:t>
      </w:r>
    </w:p>
    <w:p w14:paraId="2AFE9AF4" w14:textId="77777777" w:rsidR="00950C0A"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Arial" w:hAnsiTheme="minorHAnsi" w:cstheme="minorHAnsi"/>
          <w:sz w:val="20"/>
          <w:szCs w:val="20"/>
          <w:lang w:val="fr-FR" w:bidi="fr-FR"/>
        </w:rPr>
        <w:t xml:space="preserve">L'unité brevetée ACCUBRAILLE permet de gaufrer jusqu'à 8 lignes de braille, y compris en gaufrage transversal, avec une alimentation régulière des découpes sans point. Les opérateurs gagnent du temps </w:t>
      </w:r>
      <w:r w:rsidRPr="00950C0A">
        <w:rPr>
          <w:rFonts w:asciiTheme="minorHAnsi" w:eastAsia="Arial" w:hAnsiTheme="minorHAnsi" w:cstheme="minorHAnsi"/>
          <w:sz w:val="20"/>
          <w:szCs w:val="20"/>
          <w:lang w:val="fr-FR" w:bidi="fr-FR"/>
        </w:rPr>
        <w:lastRenderedPageBreak/>
        <w:t>grâce à son système de montage rapide des outils, tandis que le réglage motorisé de la hauteur des points contribue à garantir une excellente ergonomie pour l'utilisateur.</w:t>
      </w:r>
    </w:p>
    <w:p w14:paraId="048B567D" w14:textId="77777777" w:rsidR="00950C0A"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Arial" w:hAnsiTheme="minorHAnsi" w:cstheme="minorHAnsi"/>
          <w:sz w:val="20"/>
          <w:szCs w:val="20"/>
          <w:lang w:val="fr-FR" w:bidi="fr-FR"/>
        </w:rPr>
        <w:t>Pour accroître l'efficacité de la ligne, Unit NV a également investi dans le périphérique de sortie compact BOBST HANDYPACK GT. La table de collecte semi-automatique augmente la productivité des plieuses-colleuses grâce à une collecte facile des cartons, même avec un effectif minimal. En plus de réduire la pression des tâches manuelles sur le personnel, Unit NV a découvert un autre avantage grâce au HANDYPACK : une meilleure surveillance du nombre d'unités d'emballages créées et finalisées.</w:t>
      </w:r>
    </w:p>
    <w:p w14:paraId="7081B6B3" w14:textId="77777777" w:rsidR="00950C0A"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Arial" w:hAnsiTheme="minorHAnsi" w:cstheme="minorHAnsi"/>
          <w:sz w:val="20"/>
          <w:szCs w:val="20"/>
          <w:lang w:val="fr-FR" w:bidi="fr-FR"/>
        </w:rPr>
        <w:t>Et Lissa d’ajouter : « La technologie est facile à configurer et conviviale, et la formation et le support que nous recevons de la part de BOBST sont excellents. En ayant mis en place EXPERTFOLD 50 et nos solutions ACCUBRAILLE et HANDYPACK, nous constatons actuellement une hausse de la vitesse de production d'environ 25 %. Cela représente pour nous un avantage majeur dans un marché concurrentiel et cela signifie que nous pouvons accomplir davantage au quotidien. Avec notre investissement, notre objectif était de mettre en ligne le plus de processus de haute qualité possible et d'accomplir davantage en un seul passage. Nous pouvons aujourd’hui le faire, et notre configuration en ligne nous donne plus de flexibilité pour apporter des modifications ou corriger des erreurs, la qualité de ce que nous produisons est donc fantastique. »</w:t>
      </w:r>
    </w:p>
    <w:bookmarkEnd w:id="0"/>
    <w:p w14:paraId="3F91D0FF" w14:textId="668B751F" w:rsidR="00EB4F02" w:rsidRPr="00950C0A" w:rsidRDefault="00950C0A" w:rsidP="00950C0A">
      <w:pPr>
        <w:spacing w:after="160" w:line="276" w:lineRule="auto"/>
        <w:rPr>
          <w:rFonts w:asciiTheme="minorHAnsi" w:eastAsia="Calibri" w:hAnsiTheme="minorHAnsi" w:cstheme="minorHAnsi"/>
          <w:sz w:val="20"/>
          <w:szCs w:val="20"/>
          <w:lang w:val="fr-FR"/>
        </w:rPr>
      </w:pPr>
      <w:r w:rsidRPr="00950C0A">
        <w:rPr>
          <w:rFonts w:asciiTheme="minorHAnsi" w:eastAsia="Calibri" w:hAnsiTheme="minorHAnsi" w:cstheme="minorHAnsi"/>
          <w:sz w:val="20"/>
          <w:szCs w:val="20"/>
          <w:lang w:val="fr-FR" w:bidi="fr-FR"/>
        </w:rPr>
        <w:t>FIN</w:t>
      </w:r>
    </w:p>
    <w:p w14:paraId="4888A853" w14:textId="77777777" w:rsidR="00EB4F02" w:rsidRPr="00606729" w:rsidRDefault="00EB4F0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083AC203"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29DFF" w14:textId="77777777" w:rsidR="00EC0061" w:rsidRDefault="00EC0061" w:rsidP="00BB5BE9">
      <w:pPr>
        <w:spacing w:line="240" w:lineRule="auto"/>
      </w:pPr>
      <w:r>
        <w:separator/>
      </w:r>
    </w:p>
  </w:endnote>
  <w:endnote w:type="continuationSeparator" w:id="0">
    <w:p w14:paraId="69C0C442" w14:textId="77777777" w:rsidR="00EC0061" w:rsidRDefault="00EC006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42D0" w14:textId="77777777" w:rsidR="00EC0061" w:rsidRDefault="00EC0061" w:rsidP="00BB5BE9">
      <w:pPr>
        <w:spacing w:line="240" w:lineRule="auto"/>
      </w:pPr>
      <w:r>
        <w:separator/>
      </w:r>
    </w:p>
  </w:footnote>
  <w:footnote w:type="continuationSeparator" w:id="0">
    <w:p w14:paraId="66122F93" w14:textId="77777777" w:rsidR="00EC0061" w:rsidRDefault="00EC006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5C22F0"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5C22F0"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03DF2"/>
    <w:rsid w:val="00122852"/>
    <w:rsid w:val="0012287C"/>
    <w:rsid w:val="00162ACB"/>
    <w:rsid w:val="00162F04"/>
    <w:rsid w:val="00164521"/>
    <w:rsid w:val="00165731"/>
    <w:rsid w:val="00185617"/>
    <w:rsid w:val="00193DE7"/>
    <w:rsid w:val="001978E2"/>
    <w:rsid w:val="001B00E3"/>
    <w:rsid w:val="001B2225"/>
    <w:rsid w:val="001B4282"/>
    <w:rsid w:val="001B75B1"/>
    <w:rsid w:val="001F7FE9"/>
    <w:rsid w:val="0027064C"/>
    <w:rsid w:val="00280DC9"/>
    <w:rsid w:val="0029094B"/>
    <w:rsid w:val="003F1F32"/>
    <w:rsid w:val="003F5EAA"/>
    <w:rsid w:val="00406778"/>
    <w:rsid w:val="004257F2"/>
    <w:rsid w:val="00441257"/>
    <w:rsid w:val="00441D37"/>
    <w:rsid w:val="004701B5"/>
    <w:rsid w:val="004711C7"/>
    <w:rsid w:val="00497781"/>
    <w:rsid w:val="004C2489"/>
    <w:rsid w:val="004C28DE"/>
    <w:rsid w:val="004F3549"/>
    <w:rsid w:val="00540DC4"/>
    <w:rsid w:val="00546823"/>
    <w:rsid w:val="005A48B2"/>
    <w:rsid w:val="005B28F0"/>
    <w:rsid w:val="005C22F0"/>
    <w:rsid w:val="005C7A5F"/>
    <w:rsid w:val="00606729"/>
    <w:rsid w:val="00607A8B"/>
    <w:rsid w:val="0064617D"/>
    <w:rsid w:val="006619E8"/>
    <w:rsid w:val="00672351"/>
    <w:rsid w:val="006A1224"/>
    <w:rsid w:val="006A45F6"/>
    <w:rsid w:val="006E0625"/>
    <w:rsid w:val="007054D8"/>
    <w:rsid w:val="00717E14"/>
    <w:rsid w:val="00744CD0"/>
    <w:rsid w:val="0074688B"/>
    <w:rsid w:val="00750E45"/>
    <w:rsid w:val="00753FE3"/>
    <w:rsid w:val="007C6F37"/>
    <w:rsid w:val="007D2FE3"/>
    <w:rsid w:val="007E6A57"/>
    <w:rsid w:val="0081574B"/>
    <w:rsid w:val="00831A2A"/>
    <w:rsid w:val="008475F1"/>
    <w:rsid w:val="00872A48"/>
    <w:rsid w:val="0089716F"/>
    <w:rsid w:val="008A477E"/>
    <w:rsid w:val="008A6629"/>
    <w:rsid w:val="008B5EF4"/>
    <w:rsid w:val="008D353F"/>
    <w:rsid w:val="008E49BA"/>
    <w:rsid w:val="008E4DAA"/>
    <w:rsid w:val="00923BF4"/>
    <w:rsid w:val="00950C0A"/>
    <w:rsid w:val="00990BFB"/>
    <w:rsid w:val="009A0420"/>
    <w:rsid w:val="009B17E7"/>
    <w:rsid w:val="009C18C1"/>
    <w:rsid w:val="00A131E9"/>
    <w:rsid w:val="00A13434"/>
    <w:rsid w:val="00A7773A"/>
    <w:rsid w:val="00AB644E"/>
    <w:rsid w:val="00B073A5"/>
    <w:rsid w:val="00BA155B"/>
    <w:rsid w:val="00BB5A31"/>
    <w:rsid w:val="00BB5BE9"/>
    <w:rsid w:val="00C20D00"/>
    <w:rsid w:val="00C26C45"/>
    <w:rsid w:val="00C365C9"/>
    <w:rsid w:val="00C37CAD"/>
    <w:rsid w:val="00CC7F9D"/>
    <w:rsid w:val="00D97770"/>
    <w:rsid w:val="00DB1DC2"/>
    <w:rsid w:val="00DC3BB1"/>
    <w:rsid w:val="00DE5DD2"/>
    <w:rsid w:val="00DF7B45"/>
    <w:rsid w:val="00E11997"/>
    <w:rsid w:val="00E2330A"/>
    <w:rsid w:val="00E30F10"/>
    <w:rsid w:val="00E542C8"/>
    <w:rsid w:val="00EB4F02"/>
    <w:rsid w:val="00EB7CAB"/>
    <w:rsid w:val="00EC0061"/>
    <w:rsid w:val="00EE31B1"/>
    <w:rsid w:val="00F03D8B"/>
    <w:rsid w:val="00F36CF1"/>
    <w:rsid w:val="00F80BE3"/>
    <w:rsid w:val="00F92EA2"/>
    <w:rsid w:val="00F961AB"/>
    <w:rsid w:val="00FB72F4"/>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2</Pages>
  <Words>854</Words>
  <Characters>4873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2024-08-19T13:06:00Z</dcterms:created>
  <dcterms:modified xsi:type="dcterms:W3CDTF">2024-08-19T13:08:00Z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